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Додаток 1 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Цільової програми «Громадський бюджет 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селища Гостомель на 2018 - 2022 роки» 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затвердженої рішенням Гостомельської селишної ради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18 січня 2018р.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№ 551-33-VII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БЛАНК-ЗАЯВА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ПРОЕКТУ, РЕАЛІЗАЦІЯ ЯКОГО ВІДБУВАТИМЕТЬСЯ ЗА РАХУНОК КОШТІВ ЦІЛЬОВОЇ ПРОГРАМИ 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«ГРОМАДСЬКИЙ БЮДЖЕТ СЕЛИЩА ГОСТОМЕЛЬ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2018-2022 РОКИ»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201__РОЦІ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760"/>
          <w:tab w:val="left" w:pos="7965"/>
        </w:tabs>
        <w:spacing w:after="0" w:line="240" w:lineRule="auto"/>
        <w:ind w:right="-6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надходження до  Робочої групи</w:t>
        <w:tab/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87630</wp:posOffset>
                </wp:positionV>
                <wp:extent cx="1828800" cy="228600"/>
                <wp:effectExtent b="13970" l="13335" r="5715" t="508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SpPr txBox="1">
                          <a:spLocks noChangeArrowheads="1"/>
                        </wps:cNvSpPr>
                        <wps:cNvPr id="7" name="Text Box 8"/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4CC" w:rsidDel="00000000" w:rsidP="00A91D1C" w:rsidRDefault="00C004CC" w:rsidRPr="003328A0"/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cNvPr id="8" name="Text Box 9"/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4CC" w:rsidDel="00000000" w:rsidP="00A91D1C" w:rsidRDefault="00C004CC" w:rsidRPr="003328A0"/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cNvPr id="9" name="Text Box 10"/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4CC" w:rsidDel="00000000" w:rsidP="00A91D1C" w:rsidRDefault="00C004CC" w:rsidRPr="003328A0"/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cNvPr id="10" name="Text Box 11"/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4CC" w:rsidDel="00000000" w:rsidP="00A91D1C" w:rsidRDefault="00C004CC" w:rsidRPr="003328A0"/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cNvPr id="11" name="Text Box 12"/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4CC" w:rsidDel="00000000" w:rsidP="00A91D1C" w:rsidRDefault="00C004CC" w:rsidRPr="003328A0"/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cNvPr id="12" name="Text Box 13"/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4CC" w:rsidDel="00000000" w:rsidP="00A91D1C" w:rsidRDefault="00C004CC" w:rsidRPr="003328A0"/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cNvPr id="13" name="Text Box 14"/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4CC" w:rsidDel="00000000" w:rsidP="00A91D1C" w:rsidRDefault="00C004CC" w:rsidRPr="003328A0"/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cNvPr id="14" name="Text Box 15"/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4CC" w:rsidDel="00000000" w:rsidP="00A91D1C" w:rsidRDefault="00C004CC" w:rsidRPr="003328A0"/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87630</wp:posOffset>
                </wp:positionV>
                <wp:extent cx="1847850" cy="2476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tabs>
          <w:tab w:val="left" w:pos="2760"/>
        </w:tabs>
        <w:spacing w:after="0" w:before="200" w:line="240" w:lineRule="auto"/>
        <w:ind w:right="-6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Включено до реєстру поданих проектів за №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165100</wp:posOffset>
                </wp:positionV>
                <wp:extent cx="914400" cy="228600"/>
                <wp:effectExtent b="8255" l="13335" r="5715" t="10795"/>
                <wp:wrapNone/>
                <wp:docPr id="1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6570" y="8492"/>
                          <a:chExt cx="1440" cy="360"/>
                        </a:xfrm>
                      </wpg:grpSpPr>
                      <wps:wsp>
                        <wps:cNvSpPr txBox="1">
                          <a:spLocks noChangeArrowheads="1"/>
                        </wps:cNvSpPr>
                        <wps:cNvPr id="2" name="Text Box 3"/>
                        <wps:spPr bwMode="auto">
                          <a:xfrm>
                            <a:off x="657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4CC" w:rsidDel="00000000" w:rsidP="00A91D1C" w:rsidRDefault="00C004CC" w:rsidRPr="00C879DC"/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cNvPr id="3" name="Text Box 4"/>
                        <wps:spPr bwMode="auto">
                          <a:xfrm>
                            <a:off x="693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4CC" w:rsidDel="00000000" w:rsidP="00A91D1C" w:rsidRDefault="00C004CC" w:rsidRPr="00C879DC"/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cNvPr id="4" name="Text Box 5"/>
                        <wps:spPr bwMode="auto">
                          <a:xfrm>
                            <a:off x="729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4CC" w:rsidDel="00000000" w:rsidP="00A91D1C" w:rsidRDefault="00C004CC" w:rsidRPr="00C879DC"/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cNvPr id="5" name="Text Box 6"/>
                        <wps:spPr bwMode="auto">
                          <a:xfrm>
                            <a:off x="765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4CC" w:rsidDel="00000000" w:rsidP="00A91D1C" w:rsidRDefault="00C004CC" w:rsidRPr="000B6C51"/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165100</wp:posOffset>
                </wp:positionV>
                <wp:extent cx="933450" cy="2476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tabs>
          <w:tab w:val="left" w:pos="2760"/>
        </w:tabs>
        <w:spacing w:after="0" w:before="200" w:line="240" w:lineRule="auto"/>
        <w:ind w:right="-6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ПІП та підпис особи що реєструє: Осадчук Тетяна Миколаївна </w:t>
      </w:r>
    </w:p>
    <w:p w:rsidR="00000000" w:rsidDel="00000000" w:rsidP="00000000" w:rsidRDefault="00000000" w:rsidRPr="00000000" w14:paraId="00000010">
      <w:pPr>
        <w:tabs>
          <w:tab w:val="left" w:pos="2760"/>
          <w:tab w:val="left" w:pos="7965"/>
        </w:tabs>
        <w:spacing w:after="0" w:line="240" w:lineRule="auto"/>
        <w:ind w:right="-6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right="-6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right="-6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ВСІ ПУНКТИ Є ОБОВ’ЯЗКОВИМИ ДЛЯ ЗАПОВНЕННЯ!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right="-6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Назва проекту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Майданчик біля зеленого класу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Місце реалізації проекту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селище Гостомель, вул Рекунова 11-А 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Ліцей №1 Гостомельської селищної Ради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Обґрунтування бенефіціарів проекту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основні групи мешканців, які зможуть користуватися результатами проекту)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Учасники навчально-виховного процесу Ліцей №1 Гостомельської селищної Ради, жителі селища (у визначений час світового дня)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Опис проекту</w:t>
      </w:r>
      <w:r w:rsidDel="00000000" w:rsidR="00000000" w:rsidRPr="00000000">
        <w:rPr>
          <w:rFonts w:ascii="Times New Roman" w:cs="Times New Roman" w:eastAsia="Times New Roman" w:hAnsi="Times New Roman"/>
          <w:color w:val="3a373d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Ліцей №1 Гостомельської селищної Ради</w:t>
      </w:r>
      <w:r w:rsidDel="00000000" w:rsidR="00000000" w:rsidRPr="00000000">
        <w:rPr>
          <w:rFonts w:ascii="Times New Roman" w:cs="Times New Roman" w:eastAsia="Times New Roman" w:hAnsi="Times New Roman"/>
          <w:color w:val="3a373d"/>
          <w:sz w:val="28"/>
          <w:szCs w:val="28"/>
          <w:rtl w:val="0"/>
        </w:rPr>
        <w:t xml:space="preserve">, з 2021 навчального року почав працювати у дві зміни, так як має великої кількості учасників навчально-виховного процесу. Поблизу навчального закладу не вистачає місць, де можна було б учням підготуватись  до наступних занять та просто відпочити.  для відпочинку є лише кілька лавок біля центрального входу в школу.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Times New Roman" w:cs="Times New Roman" w:eastAsia="Times New Roman" w:hAnsi="Times New Roman"/>
          <w:color w:val="3a37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525252"/>
          <w:sz w:val="28"/>
          <w:szCs w:val="28"/>
          <w:rtl w:val="0"/>
        </w:rPr>
        <w:t xml:space="preserve">     Попри пандемію коронавірусної інфекції у світі, з першого вересня в українські школи пішли учні. Міністерство охорони здоров’я та державний санітарний лікар розробили низку правил та постанов, за   якими в умовах епідемії, навчаються школярі. Задля збереження здоров’я учасників навчально-виховного процесу поряд з багатьма рекомендаціями навчання під час пандемії п</w:t>
      </w:r>
      <w:r w:rsidDel="00000000" w:rsidR="00000000" w:rsidRPr="00000000">
        <w:rPr>
          <w:rFonts w:ascii="Times New Roman" w:cs="Times New Roman" w:eastAsia="Times New Roman" w:hAnsi="Times New Roman"/>
          <w:color w:val="525252"/>
          <w:sz w:val="28"/>
          <w:szCs w:val="28"/>
          <w:rtl w:val="0"/>
        </w:rPr>
        <w:t xml:space="preserve">останова  державного санітарного лікаря містить положення щодо проведення уроків на відкритому повітрі, якщо дозволяють погодні умови. </w:t>
      </w:r>
      <w:r w:rsidDel="00000000" w:rsidR="00000000" w:rsidRPr="00000000">
        <w:rPr>
          <w:rFonts w:ascii="Times New Roman" w:cs="Times New Roman" w:eastAsia="Times New Roman" w:hAnsi="Times New Roman"/>
          <w:color w:val="3a373d"/>
          <w:sz w:val="28"/>
          <w:szCs w:val="28"/>
          <w:rtl w:val="0"/>
        </w:rPr>
        <w:t xml:space="preserve">Й сьогодні саме на часі подумати про створення умов проведення частини уроків на свіжому повітрі. 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Times New Roman" w:cs="Times New Roman" w:eastAsia="Times New Roman" w:hAnsi="Times New Roman"/>
          <w:color w:val="3a37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73d"/>
          <w:sz w:val="28"/>
          <w:szCs w:val="28"/>
          <w:rtl w:val="0"/>
        </w:rPr>
        <w:t xml:space="preserve">   Дана територія школи частково освітлена тому матиме чіткі часи роботи: з 7:00 до 18:00. 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Інформація щодо очікуваних  результатів  в разі реалізації  проекту: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Times New Roman" w:cs="Times New Roman" w:eastAsia="Times New Roman" w:hAnsi="Times New Roman"/>
          <w:color w:val="3a37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73d"/>
          <w:sz w:val="28"/>
          <w:szCs w:val="28"/>
          <w:rtl w:val="0"/>
        </w:rPr>
        <w:t xml:space="preserve">Пропонується на базі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Ліцею №1 Гостомельської селищної Ради</w:t>
      </w:r>
      <w:r w:rsidDel="00000000" w:rsidR="00000000" w:rsidRPr="00000000">
        <w:rPr>
          <w:rFonts w:ascii="Times New Roman" w:cs="Times New Roman" w:eastAsia="Times New Roman" w:hAnsi="Times New Roman"/>
          <w:color w:val="3a373d"/>
          <w:sz w:val="28"/>
          <w:szCs w:val="28"/>
          <w:rtl w:val="0"/>
        </w:rPr>
        <w:t xml:space="preserve"> створити майданчик біля зеленого класу, тобто проведення вільного часу з користю. Упорядкувати внутрішній двір навчального закладу задля створення зони відпочинку з зеленими насадженнями (дерева, кущі, квіти), що забезпечить чисте повітря, прохолодне місце в літній період часу. </w:t>
      </w:r>
    </w:p>
    <w:p w:rsidR="00000000" w:rsidDel="00000000" w:rsidP="00000000" w:rsidRDefault="00000000" w:rsidRPr="00000000" w14:paraId="00000022">
      <w:pPr>
        <w:tabs>
          <w:tab w:val="left" w:pos="284"/>
        </w:tabs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84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Орієнтовна вартість (кошторис) проекту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(всі складові проекту та їх орієнтовна вартість)  </w:t>
      </w:r>
    </w:p>
    <w:tbl>
      <w:tblPr>
        <w:tblStyle w:val="Table1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5953"/>
        <w:gridCol w:w="1176"/>
        <w:gridCol w:w="1121"/>
        <w:gridCol w:w="1134"/>
        <w:tblGridChange w:id="0">
          <w:tblGrid>
            <w:gridCol w:w="534"/>
            <w:gridCol w:w="5953"/>
            <w:gridCol w:w="1176"/>
            <w:gridCol w:w="1121"/>
            <w:gridCol w:w="113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284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284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Складові завдання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284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Кількість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284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Орієнтовна вартість за одиницю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284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Орієнтовна вартість за статтею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284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A">
            <w:pPr>
              <w:shd w:fill="0054a3" w:val="clear"/>
              <w:spacing w:after="0" w:line="240" w:lineRule="auto"/>
              <w:rPr>
                <w:rFonts w:ascii="Vollkorn" w:cs="Vollkorn" w:eastAsia="Vollkorn" w:hAnsi="Vollkor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ollkorn" w:cs="Vollkorn" w:eastAsia="Vollkorn" w:hAnsi="Vollkorn"/>
                <w:color w:val="000000"/>
                <w:sz w:val="24"/>
                <w:szCs w:val="24"/>
                <w:rtl w:val="0"/>
              </w:rPr>
              <w:t xml:space="preserve">Гойдалка одинарна на дерев'яних стійках Гніздо Лелеки InterAtletika TЕ412-RC</w:t>
            </w:r>
          </w:p>
          <w:p w:rsidR="00000000" w:rsidDel="00000000" w:rsidP="00000000" w:rsidRDefault="00000000" w:rsidRPr="00000000" w14:paraId="0000002B">
            <w:pPr>
              <w:tabs>
                <w:tab w:val="left" w:pos="28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28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https://play.interatletika.ua/kacheli-odinarnye-na-metallicheskikh-stoykakh-gnizdo-leleki-interatletika-te412-rc/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284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284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35 700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284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35700</w:t>
            </w:r>
          </w:p>
        </w:tc>
      </w:tr>
      <w:tr>
        <w:trPr>
          <w:cantSplit w:val="0"/>
          <w:trHeight w:val="1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284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1">
            <w:pPr>
              <w:pStyle w:val="Heading1"/>
              <w:shd w:fill="0054a3" w:val="clear"/>
              <w:spacing w:after="0" w:before="0" w:lineRule="auto"/>
              <w:rPr>
                <w:rFonts w:ascii="Vollkorn" w:cs="Vollkorn" w:eastAsia="Vollkorn" w:hAnsi="Vollkor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ollkorn" w:cs="Vollkorn" w:eastAsia="Vollkorn" w:hAnsi="Vollkorn"/>
                <w:b w:val="0"/>
                <w:color w:val="000000"/>
                <w:sz w:val="24"/>
                <w:szCs w:val="24"/>
                <w:rtl w:val="0"/>
              </w:rPr>
              <w:t xml:space="preserve">Канатная пирамида InterAtletika SE770.3</w:t>
            </w:r>
          </w:p>
          <w:p w:rsidR="00000000" w:rsidDel="00000000" w:rsidP="00000000" w:rsidRDefault="00000000" w:rsidRPr="00000000" w14:paraId="00000032">
            <w:pPr>
              <w:shd w:fill="ffffff" w:val="clear"/>
              <w:spacing w:after="450" w:before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https://play.interatletika.ua/ru/kanatnaya-piramida-interatletika-se770-3/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284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2213e"/>
                <w:sz w:val="26"/>
                <w:szCs w:val="26"/>
                <w:highlight w:val="white"/>
                <w:rtl w:val="0"/>
              </w:rPr>
              <w:t xml:space="preserve">4400 мм*3001 мм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28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35000</w:t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284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35000</w:t>
            </w:r>
          </w:p>
        </w:tc>
      </w:tr>
      <w:tr>
        <w:trPr>
          <w:cantSplit w:val="0"/>
          <w:trHeight w:val="15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284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7">
            <w:pPr>
              <w:pStyle w:val="Heading1"/>
              <w:shd w:fill="0054a3" w:val="clear"/>
              <w:spacing w:after="0" w:before="0" w:lineRule="auto"/>
              <w:rPr>
                <w:rFonts w:ascii="Vollkorn" w:cs="Vollkorn" w:eastAsia="Vollkorn" w:hAnsi="Vollkor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ollkorn" w:cs="Vollkorn" w:eastAsia="Vollkorn" w:hAnsi="Vollkorn"/>
                <w:b w:val="0"/>
                <w:color w:val="000000"/>
                <w:sz w:val="24"/>
                <w:szCs w:val="24"/>
                <w:rtl w:val="0"/>
              </w:rPr>
              <w:t xml:space="preserve">Гимнастический комплекс "Гимнаст" InterAtletika SЕ714</w:t>
            </w:r>
          </w:p>
          <w:p w:rsidR="00000000" w:rsidDel="00000000" w:rsidP="00000000" w:rsidRDefault="00000000" w:rsidRPr="00000000" w14:paraId="00000038">
            <w:pPr>
              <w:tabs>
                <w:tab w:val="left" w:pos="28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https://play.interatletika.ua/ru/gimnasticheskiy-kompleks-gimnast-interatletika-se714/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28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2213e"/>
                <w:sz w:val="26"/>
                <w:szCs w:val="26"/>
                <w:highlight w:val="white"/>
                <w:rtl w:val="0"/>
              </w:rPr>
              <w:t xml:space="preserve">3693мм* 2595 мм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28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71500</w:t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28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71500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284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D">
            <w:pPr>
              <w:pStyle w:val="Heading1"/>
              <w:shd w:fill="0054a3" w:val="clear"/>
              <w:spacing w:after="0" w:before="0" w:lineRule="auto"/>
              <w:rPr>
                <w:rFonts w:ascii="Vollkorn" w:cs="Vollkorn" w:eastAsia="Vollkorn" w:hAnsi="Vollkor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ollkorn" w:cs="Vollkorn" w:eastAsia="Vollkorn" w:hAnsi="Vollkorn"/>
                <w:b w:val="0"/>
                <w:color w:val="000000"/>
                <w:sz w:val="24"/>
                <w:szCs w:val="24"/>
                <w:rtl w:val="0"/>
              </w:rPr>
              <w:t xml:space="preserve">Качели двойные со спинками на цепях InterAtletika ТЕ407М</w:t>
            </w:r>
          </w:p>
          <w:p w:rsidR="00000000" w:rsidDel="00000000" w:rsidP="00000000" w:rsidRDefault="00000000" w:rsidRPr="00000000" w14:paraId="0000003E">
            <w:pPr>
              <w:tabs>
                <w:tab w:val="left" w:pos="284"/>
              </w:tabs>
              <w:spacing w:after="0" w:lineRule="auto"/>
              <w:rPr>
                <w:rFonts w:ascii="PT Sans" w:cs="PT Sans" w:eastAsia="PT Sans" w:hAnsi="PT Sans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https://play.interatletika.ua/ru/kacheli-dvoynye-so-spinkami-na-tsepyakh-interatletika-te407m/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284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2213e"/>
                <w:sz w:val="26"/>
                <w:szCs w:val="26"/>
                <w:highlight w:val="white"/>
                <w:rtl w:val="0"/>
              </w:rPr>
              <w:t xml:space="preserve">2800 мм* 2800 мм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284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16900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284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16900</w:t>
            </w:r>
          </w:p>
          <w:p w:rsidR="00000000" w:rsidDel="00000000" w:rsidP="00000000" w:rsidRDefault="00000000" w:rsidRPr="00000000" w14:paraId="00000042">
            <w:pPr>
              <w:tabs>
                <w:tab w:val="left" w:pos="284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284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44">
            <w:pPr>
              <w:pStyle w:val="Heading1"/>
              <w:shd w:fill="0054a3" w:val="clear"/>
              <w:spacing w:after="0" w:before="0" w:lineRule="auto"/>
              <w:rPr>
                <w:rFonts w:ascii="Vollkorn" w:cs="Vollkorn" w:eastAsia="Vollkorn" w:hAnsi="Vollkor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ollkorn" w:cs="Vollkorn" w:eastAsia="Vollkorn" w:hAnsi="Vollkorn"/>
                <w:b w:val="0"/>
                <w:color w:val="000000"/>
                <w:sz w:val="24"/>
                <w:szCs w:val="24"/>
                <w:rtl w:val="0"/>
              </w:rPr>
              <w:t xml:space="preserve">Плитка резиновая 500х500 (квадрат) ПГ, монтаж та робота</w:t>
            </w:r>
          </w:p>
          <w:p w:rsidR="00000000" w:rsidDel="00000000" w:rsidP="00000000" w:rsidRDefault="00000000" w:rsidRPr="00000000" w14:paraId="00000045">
            <w:pPr>
              <w:shd w:fill="ffffff" w:val="clear"/>
              <w:spacing w:after="450" w:before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https://play.interatletika.ua/ru/plitka-rezinovaya-500kh500-kvadrat-pg/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284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256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28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8*8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284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90900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4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tabs>
                <w:tab w:val="left" w:pos="284"/>
                <w:tab w:val="right" w:pos="7446"/>
              </w:tabs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  <w:tab/>
              <w:t xml:space="preserve">Разом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D">
            <w:pPr>
              <w:tabs>
                <w:tab w:val="left" w:pos="28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color w:val="0f243e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f243e"/>
                <w:rtl w:val="0"/>
              </w:rPr>
              <w:t xml:space="preserve">250000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tabs>
          <w:tab w:val="left" w:pos="284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Список з підписами щонайменше 10 громадян України,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віком від 16 років, які зареєстровані або проживають на території селища, з підтверджуючими офіційними документами, а у разі відсутності реєстрації -довідкою про місце роботи, навчання, служби чи іншими документами, що підтверджують факт проживання в селищі,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 підтримують цей проект (окрім його авторів), що додається.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Кожна додаткова сторінка списку повинна мати таку ж форму, за винятком позначення наступної сторінки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необхідно додати оригінал списку у паперовій формі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Контактні дані автора/авторів проекту, які будуть загальнодоступні, у тому числі для авторів інших проектів, мешканців, представників ЗМІ, з метою обміну думками, інформацією, можливих узгоджень тощо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(необхідне підкреслити):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tabs>
          <w:tab w:val="left" w:pos="284"/>
        </w:tabs>
        <w:spacing w:after="6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висловлюю свою згоду на використання моєї електронної адреси:  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tatianaosadchuk@gmail.com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зазначених вище цілей </w:t>
      </w:r>
    </w:p>
    <w:p w:rsidR="00000000" w:rsidDel="00000000" w:rsidP="00000000" w:rsidRDefault="00000000" w:rsidRPr="00000000" w14:paraId="00000053">
      <w:pPr>
        <w:spacing w:after="0" w:before="12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Підпис особи, що дає згоду на використання своєї електронної адреси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</w:t>
      </w:r>
    </w:p>
    <w:p w:rsidR="00000000" w:rsidDel="00000000" w:rsidP="00000000" w:rsidRDefault="00000000" w:rsidRPr="00000000" w14:paraId="00000054">
      <w:pPr>
        <w:spacing w:after="120"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Інші додатки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(за наявності)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</w:t>
      </w:r>
    </w:p>
    <w:sectPr>
      <w:headerReference r:id="rId9" w:type="even"/>
      <w:footerReference r:id="rId10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Vollkorn"/>
  <w:font w:name="Arial"/>
  <w:font w:name="PT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tatianaosadchu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